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Statuto di Una Mano A La Cabezas</w:t>
      </w:r>
    </w:p>
    <w:p>
      <w:pPr>
        <w:pStyle w:val="Subtitle"/>
      </w:pPr>
      <w:r>
        <w:t>Associazione destinata all’iscrizione nella sezione APS del Registro unico nazionale del Terzo settore</w:t>
      </w:r>
    </w:p>
    <w:p>
      <w:pPr>
        <w:pStyle w:val="Heading1"/>
      </w:pPr>
      <w:r>
        <w:t>Articolo 1  Denominazione sede e durata</w:t>
      </w:r>
    </w:p>
    <w:p>
      <w:r>
        <w:t>È costituita l’associazione non riconosciuta denominata «Una Mano A La Cabezas», con sede nel Comune di Collegno (TO) e durata illimitata. Essa è disciplinata dal presente statuto, dal decreto legislativo 3 luglio 2017, n. 117 e successive modificazioni, di seguito Codice del Terzo settore o CTS, e, in quanto compatibile, dal Codice civile.</w:t>
      </w:r>
    </w:p>
    <w:p>
      <w:r>
        <w:t>Dall’iscrizione nella sezione Associazioni di promozione sociale del Registro unico nazionale del Terzo settore, di seguito RUNTS, la denominazione diventa automaticamente «Una Mano A La Cabezas APS». Prima dell’iscrizione l’acronimo APS e la qualifica di ente del Terzo settore non sono utilizzati verso i terzi. Il Consiglio Direttivo può trasferire la sede all’interno del Comune senza modifica statutaria, comunicando la variazione agli uffici competenti; il trasferimento in altro Comune richiede una modifica statutaria.</w:t>
      </w:r>
    </w:p>
    <w:p>
      <w:pPr>
        <w:pStyle w:val="Heading1"/>
      </w:pPr>
      <w:r>
        <w:t>Articolo 2  Finalità</w:t>
      </w:r>
    </w:p>
    <w:p>
      <w:r>
        <w:t>L’Associazione è indipendente, apartitica, aconfessionale e senza scopo di lucro. Persegue finalità civiche, solidaristiche e di utilità sociale, migliorando le opportunità di cura, comunicazione, autonomia, apprendimento e partecipazione di persone con disabilità, disturbi del neurosviluppo e malattie rare, con particolare attenzione ai bambini e alle loro famiglie e alla sindrome di Cabezas.</w:t>
      </w:r>
    </w:p>
    <w:p>
      <w:r>
        <w:t>Opera a favore dei propri associati, dei loro familiari e di terzi. Può realizzare progetti individuali, a favore di persone con sindrome di Cabezas correlata al gene CUL4B e altre condizioni comprese nelle finalità associative, e iniziative per piccoli gruppi. L’eventuale origine familiare non limita l’accesso degli altri aventi i requisiti né attribuisce diritti sul patrimonio o un diritto automatico e permanente alle risorse associative.</w:t>
      </w:r>
    </w:p>
    <w:p>
      <w:pPr>
        <w:pStyle w:val="Heading1"/>
      </w:pPr>
      <w:r>
        <w:t>Articolo 3  Attività di interesse generale</w:t>
      </w:r>
    </w:p>
    <w:p>
      <w:r>
        <w:t>Per perseguire tali finalità, l’Associazione esercita in via esclusiva o principale le seguenti attività dell’articolo 5, comma 1, CTS:</w:t>
      </w:r>
    </w:p>
    <w:p>
      <w:r>
        <w:t>a) interventi e servizi sociali ai sensi dell’articolo 1, commi 1 e 2, della legge 8 novembre 2000, n. 328, e successive modificazioni, e interventi, servizi e prestazioni di cui alla legge 5 febbraio 1992, n. 104, e alla legge 22 giugno 2016, n. 112, e successive modificazioni;</w:t>
      </w:r>
    </w:p>
    <w:p>
      <w:r>
        <w:t>d) educazione, istruzione e formazione professionale ai sensi della legge 28 marzo 2003, n. 53, e successive modificazioni, nonché attività culturali di interesse sociale con finalità educativa;</w:t>
      </w:r>
    </w:p>
    <w:p>
      <w:r>
        <w:t>i) organizzazione e gestione di attività culturali, artistiche o ricreative di interesse sociale, incluse attività, anche editoriali, di promozione e diffusione della cultura e della pratica del volontariato e delle attività di interesse generale;</w:t>
      </w:r>
    </w:p>
    <w:p>
      <w:r>
        <w:t>u) beneficenza, sostegno a distanza, cessione gratuita di alimenti o prodotti di cui alla legge 19 agosto 2016, n. 166, e successive modificazioni, o erogazione di denaro, beni o servizi a sostegno di persone svantaggiate o di attività di interesse generale a norma dell’articolo 5 CTS.</w:t>
      </w:r>
    </w:p>
    <w:p>
      <w:pPr>
        <w:pStyle w:val="Heading1"/>
      </w:pPr>
      <w:r>
        <w:t>Articolo 4  Attività concrete</w:t>
      </w:r>
    </w:p>
    <w:p>
      <w:r>
        <w:t>Nell’ambito delle attività elencate, l’Associazione può:</w:t>
      </w:r>
    </w:p>
    <w:p>
      <w:r>
        <w:t>1. Sostenere economicamente percorsi individuali o di gruppo di terapia della neuro e psicomotricità dell’età evolutiva (TNPEE), logopedia e altre prestazioni sanitarie, abilitative e riabilitative, mediante contributi finalizzati, rimborsi documentati o pagamento ai professionisti per conto del beneficiario. Le prestazioni sono svolte da soggetti abilitati e sotto la loro responsabilità professionale.</w:t>
      </w:r>
    </w:p>
    <w:p>
      <w:r>
        <w:t>2. Organizzare momenti di gioco, socializzazione, laboratori, attività educative e campi estivi diurni per piccoli gruppi, promuovendo l’incontro tra bambini con e senza disabilità e il sostegno alle famiglie.</w:t>
      </w:r>
    </w:p>
    <w:p>
      <w:r>
        <w:t>3. Organizzare formazione, incontri e materiali educativi per familiari, caregiver, volontari, educatori, insegnanti e professionisti. La formazione soggetta ad accreditamento è proposta come tale soltanto in presenza dei requisiti o mediante soggetti accreditati.</w:t>
      </w:r>
    </w:p>
    <w:p>
      <w:r>
        <w:t>4. Sostenere con contributi e raccolte fondi progetti di ricerca scientifica di particolare interesse sociale sulla sindrome di Cabezas, sul gene CUL4B e sulle malattie rare, affidati a università, istituti o altri soggetti qualificati, richiedendo una rendicontazione dell’impiego dei contributi.</w:t>
      </w:r>
    </w:p>
    <w:p>
      <w:r>
        <w:t>5. Sviluppare, commissionare e condividere software, applicazioni, strumenti per la comunicazione e l’autonomia, materiali formativi e strumenti già creati, funzionali alle finalità educative e sociali associative, nel rispetto dei diritti d’autore e della protezione dei dati.</w:t>
      </w:r>
    </w:p>
    <w:p>
      <w:r>
        <w:t>L’Associazione può stipulare accordi, acquistare strumenti e servizi e utilizzare spazi concessi da terzi, anche abitazioni, soltanto quando idonei all’attività concretamente svolta e nel rispetto delle autorizzazioni applicabili. Il sostegno economico alle terapie non comporta di per sé l’apertura o la gestione di una struttura sanitaria.</w:t>
      </w:r>
    </w:p>
    <w:p>
      <w:pPr>
        <w:pStyle w:val="Heading1"/>
      </w:pPr>
      <w:r>
        <w:t>Articolo 5  Progetti individuali e sostegno alle terapie</w:t>
      </w:r>
    </w:p>
    <w:p>
      <w:r>
        <w:t>Il Consiglio Direttivo approva ciascun progetto individuale con deliberazione che indica il bisogno da sostenere, il beneficiario identificato nei documenti riservati, la durata, il tetto di spesa, le risorse disponibili, i documenti richiesti e le modalità di pagamento. Può approvare progetti annuali a sostegno delle terapie e della partecipazione sociale dei singoli beneficiari. I successivi pagamenti entro il budget deliberato costituiscono esecuzione del progetto, ferma la verifica dei giustificativi.</w:t>
      </w:r>
    </w:p>
    <w:p>
      <w:r>
        <w:t>I criteri di accesso sono preventivi, trasparenti, non discriminatori e riferiti ai bisogni, alla coerenza dell’intervento, alla sostenibilità economica e all’eventuale destinazione delle donazioni. L’Associazione può iniziare con un solo progetto e ampliare gli interventi secondo le proprie risorse, mantenendo una reale apertura ad altri beneficiari. Non è obbligata a finanziare ogni richiesta.</w:t>
      </w:r>
    </w:p>
    <w:p>
      <w:r>
        <w:t>I pagamenti sono tracciabili. Sono conservati delibere, richieste, preventivi, fatture o documenti equivalenti e prove di pagamento. Non sono ammessi trasferimenti ai familiari privi di una specifica finalità approvata e di documentazione. I dati sanitari e identificativi dei beneficiari sono accessibili soltanto ai soggetti autorizzati.</w:t>
      </w:r>
    </w:p>
    <w:p>
      <w:pPr>
        <w:pStyle w:val="Heading1"/>
      </w:pPr>
      <w:r>
        <w:t>Articolo 6  Conflitti di interesse</w:t>
      </w:r>
    </w:p>
    <w:p>
      <w:r>
        <w:t>Gli amministratori dichiarano gli interessi personali, economici o professionali rilevanti nelle decisioni, anche per conto di terzi. Si applica l’articolo 27 CTS. Chi è beneficiario del contributo, destinatario di un compenso o direttamente interessato economicamente alla spesa non partecipa al voto sulla relativa deliberazione; per i sostegni a minori si astengono anche i genitori amministratori, tenuti al loro mantenimento. L’interessato può fornire le informazioni necessarie, che sono verbalizzate.</w:t>
      </w:r>
    </w:p>
    <w:p>
      <w:r>
        <w:t>Il solo legame di parentela non determina automaticamente l’astensione degli altri associati o amministratori: il conflitto è valutato concretamente e documentato. Il progetto o contratto deve essere approvato con il voto favorevole di almeno due amministratori non in conflitto. Se ciò non è possibile, la decisione è rimessa all’Assemblea, senza voto dei soggetti direttamente interessati e con almeno due voti favorevoli di associati non in conflitto, nel rispetto dei quorum statutari. In mancanza di tali condizioni l’impegno di spesa non può essere assunto.</w:t>
      </w:r>
    </w:p>
    <w:p>
      <w:r>
        <w:t>Le condizioni dei contratti con associati o familiari devono essere congrue e documentate. Le regole del presente articolo non consentono alcuna deroga al divieto di distribuzione indiretta di utili.</w:t>
      </w:r>
    </w:p>
    <w:p>
      <w:pPr>
        <w:pStyle w:val="Heading1"/>
      </w:pPr>
      <w:r>
        <w:t>Articolo 7  Raccolta fondi e donazioni</w:t>
      </w:r>
    </w:p>
    <w:p>
      <w:r>
        <w:t>L’Associazione può ricevere donazioni, contributi e lasciti e svolgere raccolte fondi anche organizzate e continuative ai sensi dell’articolo 7 CTS e delle linee guida vigenti, secondo verità, trasparenza e correttezza. Può aprire conti correnti e strumenti di pagamento a sé intestati.</w:t>
      </w:r>
    </w:p>
    <w:p>
      <w:r>
        <w:t>Le raccolte dedicate, anche a un singolo progetto individuale, indicano destinazione, obiettivo, durata quando prevista e trattamento degli eventuali eccedenti o dell’impossibilità di realizzare il progetto. Le somme vincolate sono contabilmente distinguibili e usate nel rispetto dei vincoli accettati. La loro destinazione non può essere modificata unilateralmente: si applicano le condizioni della raccolta validamente accettate o si acquisisce il consenso necessario e, ove dovuto, si restituiscono le somme. Sono redatti i rendiconti e le relazioni richiesti dalla legge.</w:t>
      </w:r>
    </w:p>
    <w:p>
      <w:pPr>
        <w:pStyle w:val="Heading1"/>
      </w:pPr>
      <w:r>
        <w:t>Articolo 8  Patrimonio risorse e assenza di lucro</w:t>
      </w:r>
    </w:p>
    <w:p>
      <w:r>
        <w:t>Il patrimonio e ogni entrata sono impiegati esclusivamente per le attività statutarie e le finalità civiche, solidaristiche e di utilità sociale. È vietata la distribuzione anche indiretta di utili, avanzi, fondi e riserve a fondatori, associati, lavoratori, amministratori e altri componenti degli organi sociali, anche in caso di recesso o cessazione individuale del rapporto, ai sensi dell’articolo 8 CTS.</w:t>
      </w:r>
    </w:p>
    <w:p>
      <w:r>
        <w:t>Le risorse provengono da quote associative, donazioni e lasciti, raccolte fondi, contributi pubblici e privati, convenzioni, proventi delle attività consentite e, quando spettante, cinque per mille. Le quote non sono trasferibili, rivalutabili o restituibili e non attribuiscono diritti sul patrimonio.</w:t>
      </w:r>
    </w:p>
    <w:p>
      <w:pPr>
        <w:pStyle w:val="Heading1"/>
      </w:pPr>
      <w:r>
        <w:t>Articolo 9  Attività diverse</w:t>
      </w:r>
    </w:p>
    <w:p>
      <w:r>
        <w:t>Il Consiglio Direttivo può individuare attività diverse da quelle di interesse generale purché secondarie e strumentali nei limiti dell’articolo 6 CTS e delle disposizioni attuative, documentandone il carattere secondario e strumentale nei documenti di bilancio previsti. L’eventuale vendita di software o servizi è valutata secondo la sua effettiva natura e il regime fiscale applicabile.</w:t>
      </w:r>
    </w:p>
    <w:p>
      <w:pPr>
        <w:pStyle w:val="Heading1"/>
      </w:pPr>
      <w:r>
        <w:t>Articolo 10  Associati e ammissione</w:t>
      </w:r>
    </w:p>
    <w:p>
      <w:r>
        <w:t>Possono associarsi tutte le persone fisiche che condividono le finalità e si impegnano a rispettare statuto e deliberazioni. Non sono previsti privilegi per i fondatori, limiti basati sulla parentela o discriminazioni economiche. Gli associati sono almeno sette; se il numero scende sotto il minimo, esso è reintegrato entro un anno o si procede secondo l’articolo 35 CTS, anche mediante domanda di iscrizione in altra sezione compatibile del RUNTS.</w:t>
      </w:r>
    </w:p>
    <w:p>
      <w:r>
        <w:t>La domanda scritta è deliberata dal Consiglio Direttivo entro sessanta giorni e l’ammissione è comunicata e annotata nel libro soci. Il rigetto è motivato e comunicato entro lo stesso termine; l’interessato può chiedere entro sessanta giorni la decisione dell’Assemblea nella prima riunione utile. L’adesione è a tempo indeterminato. I minori aderiscono tramite chi esercita la responsabilità genitoriale.</w:t>
      </w:r>
    </w:p>
    <w:p>
      <w:pPr>
        <w:pStyle w:val="Heading1"/>
      </w:pPr>
      <w:r>
        <w:t>Articolo 11  Diritti doveri e cessazione del rapporto</w:t>
      </w:r>
    </w:p>
    <w:p>
      <w:r>
        <w:t>Tutti gli associati hanno pari diritti. Ciascuno vota dal momento dell’iscrizione nel libro soci, in deroga al termine ordinario dell’articolo 24 CTS, partecipa alle attività ed esamina i libri sociali. L’elettorato passivo spetta ai maggiorenni; per i minori il voto è esercitato dal rappresentante legale. Gli associati rispettano le regole associative, la dignità e la riservatezza delle persone e versano la quota annuale deliberata dall’Assemblea.</w:t>
      </w:r>
    </w:p>
    <w:p>
      <w:r>
        <w:t>La qualità di associato si perde per morte, recesso scritto, morosità persistente dopo sollecito scritto con termine di almeno trenta giorni, o esclusione per gravi violazioni. La decadenza per morosità è accertata dal Consiglio; l’esclusione è deliberata dall’Assemblea, su proposta motivata, dopo contestazione scritta e almeno trenta giorni per presentare difese. Restano salvi i rimedi di legge. La cessazione non dà diritto a restituzioni di quote o a parti del patrimonio.</w:t>
      </w:r>
    </w:p>
    <w:p>
      <w:pPr>
        <w:pStyle w:val="Heading1"/>
      </w:pPr>
      <w:r>
        <w:t>Articolo 12  Volontari e lavoro retribuito</w:t>
      </w:r>
    </w:p>
    <w:p>
      <w:r>
        <w:t>L’Associazione si avvale in modo prevalente del volontariato dei propri associati. I volontari agiscono personalmente, spontaneamente e gratuitamente e non possono essere retribuiti neppure dal beneficiario. Sono rimborsabili soltanto spese effettive nei limiti preventivamente stabiliti e secondo l’articolo 17 CTS; sono vietati rimborsi forfetari. I volontari non occasionali sono iscritti nell’apposito registro e tutti i volontari sono assicurati ai sensi dell’articolo 18 CTS.</w:t>
      </w:r>
    </w:p>
    <w:p>
      <w:r>
        <w:t>L’Associazione può impiegare lavoratori, anche associati non volontari, quando necessario per le attività e nei limiti dell’articolo 36 CTS. La qualità di volontario è incompatibile con rapporti di lavoro retribuiti con l’Associazione nei termini di legge. Gli incarichi professionali rispettano requisiti di abilitazione, congruità e trasparenza. Non è consentito qualificare come donazioni o rimborsi rapporti che nella sostanza costituiscono lavoro retribuito.</w:t>
      </w:r>
    </w:p>
    <w:p>
      <w:pPr>
        <w:pStyle w:val="Heading1"/>
      </w:pPr>
      <w:r>
        <w:t>Articolo 13  Organi e gratuità delle cariche</w:t>
      </w:r>
    </w:p>
    <w:p>
      <w:r>
        <w:t>Sono organi l’Assemblea, il Consiglio Direttivo, il Presidente e, quando obbligatori o deliberati dall’Assemblea, l’Organo di controllo e il Revisore legale. Le cariche sono elettive e gratuite, salvo rimborsi documentati e compensi professionali consentiti per gli organi di controllo e revisione. Eventuali incarichi retribuiti distinti dalla carica sono ammessi soltanto nei limiti di legge, nel rispetto dell’incompatibilità del volontario e dell’articolo 6 del presente statuto.</w:t>
      </w:r>
    </w:p>
    <w:p>
      <w:pPr>
        <w:pStyle w:val="Heading1"/>
      </w:pPr>
      <w:r>
        <w:t>Articolo 14  Assemblea e convocazione</w:t>
      </w:r>
    </w:p>
    <w:p>
      <w:r>
        <w:t>L’Assemblea comprende tutti gli associati; ogni associato ha un voto e può ricevere al massimo una delega scritta da altro associato. Il Presidente la convoca almeno una volta l’anno, entro centoventi giorni dalla chiusura dell’esercizio per approvare il bilancio, e quando necessario o su richiesta motivata di almeno un decimo degli associati.</w:t>
      </w:r>
    </w:p>
    <w:p>
      <w:r>
        <w:t>L’avviso indica ordine del giorno, luogo o collegamento, data e ora della prima e dell’eventuale seconda convocazione, distanziate di almeno ventiquattro ore. È inviato almeno otto giorni prima mediante posta elettronica o altro mezzo idoneo a provare la ricezione. Le riunioni possono svolgersi integralmente a distanza, con identificazione dei partecipanti e possibilità di intervenire e votare in tempo reale. Ogni riunione è verbalizzata con firma del presidente di seduta e del segretario.</w:t>
      </w:r>
    </w:p>
    <w:p>
      <w:pPr>
        <w:pStyle w:val="Heading1"/>
      </w:pPr>
      <w:r>
        <w:t>Articolo 15  Competenze e quorum assembleari</w:t>
      </w:r>
    </w:p>
    <w:p>
      <w:r>
        <w:t>L’Assemblea nomina e revoca il Consiglio Direttivo e gli eventuali organi di controllo e revisione; approva bilanci, indirizzi, regolamenti e quota annuale; delibera su responsabilità degli organi, esclusioni e ricorsi; modifica lo statuto; delibera trasformazione, fusione, scissione, scioglimento e devoluzione; decide sulle materie riservate dalla legge o dal presente statuto.</w:t>
      </w:r>
    </w:p>
    <w:p>
      <w:r>
        <w:t>L’Assemblea ordinaria è costituita in prima convocazione con più della metà degli aventi diritto, in proprio o per delega, e in seconda con qualunque numero. Delibera a maggioranza dei voti espressi; le astensioni non sono voti espressi. Gli amministratori non votano sull’approvazione del bilancio né sulla propria responsabilità. Si applicano inoltre le astensioni dell’articolo 6.</w:t>
      </w:r>
    </w:p>
    <w:p>
      <w:r>
        <w:t>Le modifiche statutarie richiedono in prima convocazione la presenza di almeno tre quarti degli aventi diritto e la maggioranza dei presenti; in seconda la presenza di almeno metà degli aventi diritto e il voto favorevole di almeno due terzi dei presenti. Trasformazione, fusione, scissione, scioglimento e devoluzione richiedono il voto favorevole di almeno tre quarti degli associati aventi diritto.</w:t>
      </w:r>
    </w:p>
    <w:p>
      <w:pPr>
        <w:pStyle w:val="Heading1"/>
      </w:pPr>
      <w:r>
        <w:t>Articolo 16  Consiglio Direttivo e durata del mandato</w:t>
      </w:r>
    </w:p>
    <w:p>
      <w:r>
        <w:t>Il Consiglio Direttivo è formato da tre associati maggiorenni eletti dall’Assemblea, soggetti alle cause di ineleggibilità e decadenza dell’articolo 2382 del Codice civile. Nella prima riunione elegge tra i propri membri Presidente, Vicepresidente e Segretario con funzioni di Tesoriere. I componenti sono rieleggibili, senza limite statutario di mandati.</w:t>
      </w:r>
    </w:p>
    <w:p>
      <w:r>
        <w:t>Il mandato dura tre anni dalla nomina e termina con l’insediamento del Consiglio eletto dall’Assemblea di rinnovo, da tenersi entro la data del terzo anniversario. Il Presidente avvia la convocazione almeno trenta giorni prima della scadenza. Se il rinnovo non avviene tempestivamente, i consiglieri uscenti proseguono soltanto per l’ordinaria amministrazione, gli atti urgenti e la convocazione dell’Assemblea, da tenersi entro trenta giorni dalla scadenza; la prosecuzione non costituisce rinnovo tacito.</w:t>
      </w:r>
    </w:p>
    <w:p>
      <w:r>
        <w:t>La cessazione di un consigliere è seguita da elezione assembleare del sostituto entro trenta giorni, che scade con gli altri. Se cessa la maggioranza, si rinnova l’intero Consiglio entro trenta giorni; chi resta cura soltanto gli atti urgenti e la convocazione. In caso di inerzia o assenza di tutti gli amministratori, l’Assemblea può essere convocata da almeno un decimo degli associati.</w:t>
      </w:r>
    </w:p>
    <w:p>
      <w:pPr>
        <w:pStyle w:val="Heading1"/>
      </w:pPr>
      <w:r>
        <w:t>Articolo 17  Funzionamento e compiti del Consiglio</w:t>
      </w:r>
    </w:p>
    <w:p>
      <w:r>
        <w:t>Il Presidente convoca il Consiglio quando necessario e su richiesta di un consigliere, con ordine del giorno e almeno cinque giorni di preavviso, riducibili a due per urgenza motivata. Il Consiglio è valido con almeno due componenti presenti, anche a distanza; delibera con almeno due voti favorevoli. Restano ferme le condizioni dell’articolo 6. Le riunioni sono verbalizzate.</w:t>
      </w:r>
    </w:p>
    <w:p>
      <w:r>
        <w:t>Il Consiglio attua gli indirizzi assembleari, approva progetti e budget, ammette gli associati, predispone bilancio e rendiconti, cura libri e adempimenti, delibera contratti e aperture di conti, organizza attività e incarichi. Può attribuire deleghe esecutive scritte con limiti di spesa, mantenendo la responsabilità e il controllo delle attività delegate.</w:t>
      </w:r>
    </w:p>
    <w:p>
      <w:pPr>
        <w:pStyle w:val="Heading1"/>
      </w:pPr>
      <w:r>
        <w:t>Articolo 18  Presidente e gestione dei pagamenti</w:t>
      </w:r>
    </w:p>
    <w:p>
      <w:r>
        <w:t>Il Presidente rappresenta legalmente l’Associazione, convoca e presiede gli organi, esegue le deliberazioni e sottoscrive gli atti. In caso di assenza o impedimento è sostituito dal Vicepresidente. Il Segretario Tesoriere cura verbali, contabilità, giustificativi e rendiconti sotto il controllo del Consiglio.</w:t>
      </w:r>
    </w:p>
    <w:p>
      <w:r>
        <w:t>Il Consiglio stabilisce i poteri di firma bancaria e le deleghe operative. I pagamenti relativi a un progetto approvato possono essere eseguiti dal delegato entro i limiti deliberati; l’esecuzione materiale non sostituisce la preventiva approvazione. I fondi associativi restano distinti da quelli personali dei soci e dei beneficiari.</w:t>
      </w:r>
    </w:p>
    <w:p>
      <w:pPr>
        <w:pStyle w:val="Heading1"/>
      </w:pPr>
      <w:r>
        <w:t>Articolo 19  Bilanci libri e trasparenza</w:t>
      </w:r>
    </w:p>
    <w:p>
      <w:r>
        <w:t>L’esercizio va dal 1 gennaio al 31 dicembre. Il Consiglio predispone il bilancio secondo gli schemi e le forme previste dall’articolo 13 CTS, usando il rendiconto per cassa quando consentito. L’Assemblea lo approva entro centoventi giorni dalla chiusura. Il bilancio è messo a disposizione degli associati almeno otto giorni prima della riunione e depositato al RUNTS entro il termine di legge. Si redigono gli ulteriori rendiconti, il bilancio sociale e le pubblicazioni quando dovuti.</w:t>
      </w:r>
    </w:p>
    <w:p>
      <w:r>
        <w:t>Sono tenuti il libro soci, i libri dei verbali di Assemblea e Consiglio, gli eventuali libri degli altri organi e il registro dei volontari non occasionali. Gli associati possono consultarli su richiesta scritta soddisfatta entro quindici giorni, ottenendo copie a proprie spese, nel rispetto dei dati personali non necessari all’esercizio dei diritti associativi.</w:t>
      </w:r>
    </w:p>
    <w:p>
      <w:pPr>
        <w:pStyle w:val="Heading1"/>
      </w:pPr>
      <w:r>
        <w:t>Articolo 20  Controllo e revisione</w:t>
      </w:r>
    </w:p>
    <w:p>
      <w:r>
        <w:t>L’Assemblea nomina l’Organo di controllo e il Revisore legale quando ricorrono le condizioni degli articoli 30 e 31 CTS o lo ritiene opportuno. Composizione, requisiti, indipendenza e funzioni sono quelli di legge. Non sono istituiti comitati esecutivi o ulteriori organi obbligatori.</w:t>
      </w:r>
    </w:p>
    <w:p>
      <w:r>
        <w:br w:type="page"/>
      </w:r>
    </w:p>
    <w:p>
      <w:pPr>
        <w:pStyle w:val="Heading1"/>
      </w:pPr>
      <w:r>
        <w:t>Articolo 21  Scioglimento e disposizioni finali</w:t>
      </w:r>
    </w:p>
    <w:p>
      <w:r>
        <w:t>In caso di scioglimento, l’Assemblea nomina uno o più liquidatori. Il patrimonio residuo è devoluto, previo parere positivo dell’ufficio RUNTS competente e salva diversa destinazione imposta dalla legge, ad altri enti del Terzo settore individuati dall’Assemblea o, in mancanza, alla Fondazione Italia Sociale, secondo l’articolo 9 CTS. Prima dell’iscrizione, il residuo è comunque destinato a enti senza scopo di lucro con finalità analoghe, osservando la disciplina allora applicabile.</w:t>
      </w:r>
    </w:p>
    <w:p>
      <w:r>
        <w:t>Per quanto non previsto si applicano CTS e norme compatibili del Codice civile. Gli obblighi connessi all’iscrizione e le relative agevolazioni operano quando ne ricorrono i presupposti. Il primo esercizio termina il 31 dicembre dell’anno di costituzione. Il primo Consiglio è nominato nell’atto costitutivo con mandato di tre anni secondo l’articolo 16.</w:t>
      </w:r>
    </w:p>
    <w:p>
      <w:r>
        <w:t>Approvato dall’assemblea costituente in data ____________________ a ____________________.</w:t>
      </w:r>
    </w:p>
    <w:p>
      <w:r>
        <w:t>Le firme dei fondatori sono apposte in calce e lo statuto è allegato all’atto costitutivo sotto la lettera A.</w:t>
      </w:r>
    </w:p>
    <w:p>
      <w:r>
        <w:t>Firme dei sette fondatori</w:t>
        <w:br/>
        <w:br/>
        <w:t>1 ____________________   2 ____________________   3 ____________________</w:t>
        <w:br/>
        <w:br/>
        <w:t>4 ____________________   5 ____________________   6 ____________________</w:t>
        <w:br/>
        <w:br/>
        <w:t>7 ____________________</w:t>
      </w:r>
    </w:p>
    <w:sectPr w:rsidR="00FC693F" w:rsidRPr="0006063C" w:rsidSect="00034616">
      <w:footerReference w:type="default" r:id="rId9"/>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Una Mano A La Cabezas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7"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57"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7"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7"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